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1F8F1" w14:textId="63560ED5" w:rsidR="00805C96" w:rsidRPr="008D69E2" w:rsidRDefault="00805C96" w:rsidP="001467A4">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adjustRightInd w:val="0"/>
        <w:spacing w:after="0" w:line="240" w:lineRule="auto"/>
        <w:ind w:right="281"/>
        <w:jc w:val="both"/>
        <w:rPr>
          <w:rFonts w:ascii="Times New Roman" w:hAnsi="Times New Roman" w:cs="Times New Roman"/>
          <w:sz w:val="24"/>
          <w:szCs w:val="24"/>
          <w:lang w:val="fr-FR"/>
        </w:rPr>
      </w:pPr>
      <w:r>
        <w:rPr>
          <w:rFonts w:ascii="Times New Roman" w:hAnsi="Times New Roman" w:cs="Times New Roman"/>
          <w:color w:val="000000"/>
          <w:sz w:val="16"/>
          <w:szCs w:val="16"/>
          <w:lang w:val="fr-FR"/>
        </w:rPr>
        <w:t xml:space="preserve"> </w:t>
      </w:r>
      <w:r>
        <w:rPr>
          <w:rFonts w:ascii="Times New Roman" w:hAnsi="Times New Roman" w:cs="Times New Roman"/>
          <w:b/>
          <w:bCs/>
          <w:sz w:val="26"/>
          <w:szCs w:val="26"/>
          <w:lang w:val="fr-FR"/>
        </w:rPr>
        <w:t>NOTIFICATION DES DROITS ET OBLIGATIONS</w:t>
      </w:r>
    </w:p>
    <w:p w14:paraId="67D80712" w14:textId="77777777" w:rsidR="00805C96" w:rsidRPr="008D69E2"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before="240" w:after="0" w:line="240" w:lineRule="auto"/>
        <w:ind w:left="360" w:hanging="360"/>
        <w:jc w:val="center"/>
        <w:rPr>
          <w:rFonts w:ascii="Times New Roman" w:hAnsi="Times New Roman" w:cs="Times New Roman"/>
          <w:b/>
          <w:bCs/>
          <w:sz w:val="10"/>
          <w:szCs w:val="10"/>
          <w:lang w:val="fr-FR"/>
        </w:rPr>
      </w:pPr>
    </w:p>
    <w:p w14:paraId="65942F5A" w14:textId="77777777" w:rsidR="00805C96" w:rsidRPr="008D69E2"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jc w:val="center"/>
        <w:rPr>
          <w:rFonts w:ascii="Times New Roman" w:hAnsi="Times New Roman" w:cs="Times New Roman"/>
          <w:b/>
          <w:bCs/>
          <w:sz w:val="18"/>
          <w:szCs w:val="18"/>
          <w:lang w:val="fr-FR"/>
        </w:rPr>
      </w:pPr>
    </w:p>
    <w:p w14:paraId="00E98C88" w14:textId="7BDFCB02" w:rsidR="00805C96" w:rsidRPr="008D69E2" w:rsidRDefault="00805C96"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hAnsi="Times New Roman" w:cs="Times New Roman"/>
          <w:color w:val="000000"/>
          <w:sz w:val="20"/>
          <w:szCs w:val="20"/>
          <w:lang w:val="fr-FR"/>
        </w:rPr>
      </w:pPr>
      <w:r>
        <w:rPr>
          <w:rFonts w:ascii="Times New Roman" w:hAnsi="Times New Roman" w:cs="Times New Roman"/>
          <w:b/>
          <w:bCs/>
          <w:color w:val="000000"/>
          <w:sz w:val="21"/>
          <w:szCs w:val="21"/>
          <w:lang w:val="fr-FR"/>
        </w:rPr>
        <w:t>La partie a le droit, dans un délai de …… jours à compter de la date du prononcé du jugement, de demander que le motif du jugement soit préparé par écrit et signifié.</w:t>
      </w:r>
      <w:r>
        <w:rPr>
          <w:rFonts w:ascii="Times New Roman" w:hAnsi="Times New Roman" w:cs="Times New Roman"/>
          <w:color w:val="000000"/>
          <w:sz w:val="21"/>
          <w:szCs w:val="21"/>
          <w:lang w:val="fr-FR"/>
        </w:rPr>
        <w:t xml:space="preserve"> </w:t>
      </w:r>
      <w:r>
        <w:rPr>
          <w:rFonts w:ascii="Times New Roman" w:hAnsi="Times New Roman" w:cs="Times New Roman"/>
          <w:b/>
          <w:bCs/>
          <w:color w:val="000000"/>
          <w:sz w:val="21"/>
          <w:szCs w:val="21"/>
          <w:lang w:val="fr-FR"/>
        </w:rPr>
        <w:t xml:space="preserve">Un accusé en détention provisoire qui n'a pas d'avocat et qui, n'ayant pas demandé à être </w:t>
      </w:r>
      <w:r>
        <w:rPr>
          <w:rFonts w:ascii="Times New Roman" w:hAnsi="Times New Roman" w:cs="Times New Roman"/>
          <w:b/>
          <w:bCs/>
          <w:color w:val="000000"/>
          <w:sz w:val="20"/>
          <w:szCs w:val="20"/>
          <w:lang w:val="fr-FR"/>
        </w:rPr>
        <w:t>amené à l'audience au cours de laquelle le jugement a été prononcé, n'était pas présent lors du prononcé du jugement, a le droit de demander que les motifs du jugement lui soient communiqués par écrit dans un délai de sept jours à compter de la date à laquelle le jugement lui a été signifié.</w:t>
      </w:r>
    </w:p>
    <w:p w14:paraId="1AC0E20C" w14:textId="77777777" w:rsidR="00805C96" w:rsidRPr="00885058" w:rsidRDefault="00805C96"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rPr>
      </w:pPr>
      <w:r>
        <w:rPr>
          <w:rFonts w:ascii="Times New Roman" w:hAnsi="Times New Roman" w:cs="Times New Roman"/>
          <w:color w:val="000000"/>
          <w:sz w:val="20"/>
          <w:szCs w:val="20"/>
          <w:lang w:val="fr-FR"/>
        </w:rPr>
        <w:t>Le fait que le motif soit rédigé d'office ne dispense pas la partie de demander la signification des motifs. La demande est formulée par écrit en indiquant :</w:t>
      </w:r>
    </w:p>
    <w:p w14:paraId="74ACB961" w14:textId="77777777" w:rsidR="00805C96" w:rsidRPr="008D69E2" w:rsidRDefault="00805C96" w:rsidP="00885058">
      <w:pPr>
        <w:numPr>
          <w:ilvl w:val="0"/>
          <w:numId w:val="1"/>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fr-FR"/>
        </w:rPr>
      </w:pPr>
      <w:r>
        <w:rPr>
          <w:rFonts w:ascii="Times New Roman" w:eastAsia="Times New Roman" w:hAnsi="Times New Roman" w:cs="Times New Roman"/>
          <w:color w:val="000000"/>
          <w:sz w:val="20"/>
          <w:szCs w:val="20"/>
          <w:lang w:val="fr-FR"/>
        </w:rPr>
        <w:t>l'identité de l'autorité à laquelle elle est adressée et l'objet de la demande ;</w:t>
      </w:r>
    </w:p>
    <w:p w14:paraId="2150AD79" w14:textId="77777777" w:rsidR="00805C96" w:rsidRPr="008D69E2" w:rsidRDefault="00805C96" w:rsidP="00885058">
      <w:pPr>
        <w:widowControl w:val="0"/>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hAnsi="Times New Roman" w:cs="Times New Roman"/>
          <w:color w:val="000000"/>
          <w:sz w:val="20"/>
          <w:szCs w:val="20"/>
          <w:lang w:val="fr-FR"/>
        </w:rPr>
      </w:pPr>
      <w:r>
        <w:rPr>
          <w:rFonts w:ascii="Times New Roman" w:hAnsi="Times New Roman" w:cs="Times New Roman"/>
          <w:color w:val="000000"/>
          <w:sz w:val="20"/>
          <w:szCs w:val="20"/>
          <w:lang w:val="fr-FR"/>
        </w:rPr>
        <w:t>2)  </w:t>
      </w:r>
      <w:r>
        <w:rPr>
          <w:rFonts w:ascii="Times New Roman" w:hAnsi="Times New Roman" w:cs="Times New Roman"/>
          <w:sz w:val="20"/>
          <w:szCs w:val="20"/>
          <w:lang w:val="fr-FR"/>
        </w:rPr>
        <w:t>l'identité et l'adresse du demandeur et, dans la première lettre déposée dans l'affaire, le numéro de téléphone, le numéro de télécopie et l'adresse électronique ou une déclaration indiquant que le demandeur n'en dispose pas ;</w:t>
      </w:r>
    </w:p>
    <w:p w14:paraId="2F1BB421" w14:textId="77777777" w:rsidR="00805C96" w:rsidRPr="008D69E2" w:rsidRDefault="00805C96" w:rsidP="00885058">
      <w:pPr>
        <w:widowControl w:val="0"/>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fr-FR"/>
        </w:rPr>
      </w:pPr>
      <w:r>
        <w:rPr>
          <w:rFonts w:ascii="Times New Roman" w:hAnsi="Times New Roman" w:cs="Times New Roman"/>
          <w:color w:val="000000"/>
          <w:sz w:val="20"/>
          <w:szCs w:val="20"/>
          <w:lang w:val="fr-FR"/>
        </w:rPr>
        <w:t>3) le libellé de la demande, qu'elle porte sur l'ensemble du jugement ou sur certains des faits reprochés par le ministère public à l’accusé, ou encore uniquement sur la décision relative à la peine et aux autres conséquences juridiques de l'infraction, ainsi que l'identification de l'accusé lorsque la requête n'émane pas de ce dernier ;</w:t>
      </w:r>
    </w:p>
    <w:p w14:paraId="54DA202B" w14:textId="77777777" w:rsidR="00805C96" w:rsidRPr="008D69E2" w:rsidRDefault="00805C96" w:rsidP="00885058">
      <w:pPr>
        <w:widowControl w:val="0"/>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hAnsi="Times New Roman" w:cs="Times New Roman"/>
          <w:color w:val="000000"/>
          <w:sz w:val="20"/>
          <w:szCs w:val="20"/>
          <w:lang w:val="fr-FR"/>
        </w:rPr>
      </w:pPr>
      <w:r>
        <w:rPr>
          <w:rFonts w:ascii="Times New Roman" w:hAnsi="Times New Roman" w:cs="Times New Roman"/>
          <w:color w:val="000000"/>
          <w:sz w:val="20"/>
          <w:szCs w:val="20"/>
          <w:lang w:val="fr-FR"/>
        </w:rPr>
        <w:t>4) la date et la signature de l'auteur (si la personne concernée n'est pas en mesure de signer, le signataire est la personne autorisée par elle, en indiquant la raison de sa signature)</w:t>
      </w:r>
      <w:r>
        <w:rPr>
          <w:rFonts w:ascii="Times New Roman" w:hAnsi="Times New Roman" w:cs="Times New Roman"/>
          <w:sz w:val="20"/>
          <w:szCs w:val="20"/>
          <w:lang w:val="fr-FR"/>
        </w:rPr>
        <w:t>.</w:t>
      </w:r>
    </w:p>
    <w:p w14:paraId="4F10E4B7" w14:textId="77777777" w:rsidR="00805C96" w:rsidRPr="008D69E2" w:rsidRDefault="00805C96"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hAnsi="Times New Roman" w:cs="Times New Roman"/>
          <w:color w:val="000000"/>
          <w:sz w:val="20"/>
          <w:szCs w:val="20"/>
          <w:lang w:val="fr-FR"/>
        </w:rPr>
      </w:pPr>
      <w:r>
        <w:rPr>
          <w:rFonts w:ascii="Times New Roman" w:hAnsi="Times New Roman" w:cs="Times New Roman"/>
          <w:b/>
          <w:bCs/>
          <w:color w:val="000000"/>
          <w:sz w:val="20"/>
          <w:szCs w:val="20"/>
          <w:lang w:val="fr-FR"/>
        </w:rPr>
        <w:t xml:space="preserve">Une demande présentée par une personne non habilitée, hors délai ou dont les vices de forme n'ont pas été régularisées à temps par le demandeur n'est pas acceptée </w:t>
      </w:r>
      <w:r>
        <w:rPr>
          <w:rFonts w:ascii="Times New Roman" w:hAnsi="Times New Roman" w:cs="Times New Roman"/>
          <w:color w:val="000000"/>
          <w:sz w:val="20"/>
          <w:szCs w:val="20"/>
          <w:lang w:val="fr-FR"/>
        </w:rPr>
        <w:t xml:space="preserve">(articles 119 et 422 paragraphes 1, 2 et 3) 2).                                                                                                                                                                                </w:t>
      </w:r>
    </w:p>
    <w:p w14:paraId="1E3C505D" w14:textId="06FF997A" w:rsidR="00805C96" w:rsidRPr="008D69E2" w:rsidRDefault="00885058" w:rsidP="00885058">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jc w:val="both"/>
        <w:rPr>
          <w:rFonts w:ascii="Times New Roman" w:hAnsi="Times New Roman" w:cs="Times New Roman"/>
          <w:b/>
          <w:bCs/>
          <w:color w:val="000000"/>
          <w:sz w:val="20"/>
          <w:szCs w:val="20"/>
          <w:lang w:val="fr-FR"/>
        </w:rPr>
      </w:pPr>
      <w:r>
        <w:rPr>
          <w:rFonts w:ascii="Times New Roman" w:hAnsi="Times New Roman" w:cs="Times New Roman"/>
          <w:color w:val="000000"/>
          <w:sz w:val="20"/>
          <w:szCs w:val="20"/>
          <w:lang w:val="fr-FR"/>
        </w:rPr>
        <w:tab/>
      </w:r>
      <w:r>
        <w:rPr>
          <w:rFonts w:ascii="Times New Roman" w:hAnsi="Times New Roman" w:cs="Times New Roman"/>
          <w:b/>
          <w:bCs/>
          <w:color w:val="000000"/>
          <w:sz w:val="20"/>
          <w:szCs w:val="20"/>
          <w:lang w:val="fr-FR"/>
        </w:rPr>
        <w:t xml:space="preserve">Les parties et la partie condamnée disposent d'un droit d'appel contre le jugement rendu en première instance </w:t>
      </w:r>
      <w:r>
        <w:rPr>
          <w:rFonts w:ascii="Times New Roman" w:hAnsi="Times New Roman" w:cs="Times New Roman"/>
          <w:color w:val="000000"/>
          <w:sz w:val="20"/>
          <w:szCs w:val="20"/>
          <w:lang w:val="fr-FR"/>
        </w:rPr>
        <w:t>(article 444).</w:t>
      </w:r>
    </w:p>
    <w:p w14:paraId="0AE3D2A9" w14:textId="77777777" w:rsidR="00805C96" w:rsidRPr="008D69E2" w:rsidRDefault="00805C96" w:rsidP="00885058">
      <w:pPr>
        <w:widowControl w:val="0"/>
        <w:tabs>
          <w:tab w:val="left" w:pos="360"/>
          <w:tab w:val="left" w:pos="5670"/>
          <w:tab w:val="left" w:pos="738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360" w:lineRule="auto"/>
        <w:ind w:firstLine="482"/>
        <w:jc w:val="both"/>
        <w:rPr>
          <w:rFonts w:ascii="Times New Roman" w:hAnsi="Times New Roman" w:cs="Times New Roman"/>
          <w:b/>
          <w:bCs/>
          <w:sz w:val="20"/>
          <w:szCs w:val="20"/>
          <w:lang w:val="fr-FR"/>
        </w:rPr>
      </w:pPr>
      <w:r>
        <w:rPr>
          <w:rFonts w:ascii="Times New Roman" w:hAnsi="Times New Roman" w:cs="Times New Roman"/>
          <w:b/>
          <w:bCs/>
          <w:sz w:val="20"/>
          <w:szCs w:val="20"/>
          <w:lang w:val="fr-FR"/>
        </w:rPr>
        <w:t>L’appel est formé par écrit auprès de la juridiction qui a rendu la décision attaquée dans un d</w:t>
      </w:r>
      <w:r>
        <w:rPr>
          <w:rFonts w:ascii="Times New Roman" w:hAnsi="Times New Roman" w:cs="Times New Roman"/>
          <w:b/>
          <w:bCs/>
          <w:color w:val="000000"/>
          <w:sz w:val="20"/>
          <w:szCs w:val="20"/>
          <w:lang w:val="fr-FR"/>
        </w:rPr>
        <w:t xml:space="preserve">élai de quatorze jours à compter de la date de signification ou de notification de la décision motivée </w:t>
      </w:r>
      <w:r>
        <w:rPr>
          <w:rFonts w:ascii="Times New Roman" w:hAnsi="Times New Roman" w:cs="Times New Roman"/>
          <w:sz w:val="20"/>
          <w:szCs w:val="20"/>
          <w:lang w:val="fr-FR"/>
        </w:rPr>
        <w:t>(article  428 paragraphe 1, article 445 paragraphe 1).</w:t>
      </w:r>
    </w:p>
    <w:p w14:paraId="61154CD3" w14:textId="77777777" w:rsidR="00805C96" w:rsidRPr="008D69E2" w:rsidRDefault="00805C96"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fr-FR"/>
        </w:rPr>
      </w:pPr>
      <w:r>
        <w:rPr>
          <w:rFonts w:ascii="Times New Roman" w:hAnsi="Times New Roman" w:cs="Times New Roman"/>
          <w:color w:val="000000"/>
          <w:sz w:val="20"/>
          <w:szCs w:val="20"/>
          <w:lang w:val="fr-FR"/>
        </w:rPr>
        <w:t>Un appel portant sur la culpabilité est réputé formé contre l’intégralité du jugement, et un appel portant sur la peine est réputé formé contre l'ensemble de la décision relative à la peine et aux mesures pénales. En revanche, un appel portant sur une mesure pénale, une mesure de réparation ou une confiscation est réputé formé, selon le cas, contre l’intégralité de la décision relative aux mesures pénales, aux mesures compensatoires ou à la confiscation (article 447, paragraphes 1 à 3).</w:t>
      </w:r>
    </w:p>
    <w:p w14:paraId="093113AC" w14:textId="77777777" w:rsidR="00805C96" w:rsidRPr="008D69E2" w:rsidRDefault="00805C96"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fr-FR"/>
        </w:rPr>
      </w:pPr>
      <w:r>
        <w:rPr>
          <w:rFonts w:ascii="Times New Roman" w:eastAsia="Times New Roman" w:hAnsi="Times New Roman" w:cs="Times New Roman"/>
          <w:color w:val="000000"/>
          <w:sz w:val="20"/>
          <w:szCs w:val="20"/>
          <w:lang w:val="fr-FR"/>
        </w:rPr>
        <w:t>Dans le cadre d'un appel, il est possible de soulever des griefs qui n'ont pas fait ou ne pouvaient pas faire l'objet d'un recours (article 447, paragraphe 4).</w:t>
      </w:r>
    </w:p>
    <w:p w14:paraId="3ACC58DE" w14:textId="77777777" w:rsidR="00805C96" w:rsidRPr="008D69E2" w:rsidRDefault="00805C96" w:rsidP="00885058">
      <w:pPr>
        <w:widowControl w:val="0"/>
        <w:tabs>
          <w:tab w:val="left" w:pos="360"/>
          <w:tab w:val="left" w:pos="5670"/>
          <w:tab w:val="left" w:pos="738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360" w:lineRule="auto"/>
        <w:ind w:firstLine="482"/>
        <w:jc w:val="both"/>
        <w:rPr>
          <w:rFonts w:ascii="Times New Roman" w:hAnsi="Times New Roman" w:cs="Times New Roman"/>
          <w:position w:val="5"/>
          <w:sz w:val="20"/>
          <w:szCs w:val="20"/>
          <w:lang w:val="fr-FR"/>
        </w:rPr>
      </w:pPr>
      <w:r>
        <w:rPr>
          <w:rFonts w:ascii="Times New Roman" w:hAnsi="Times New Roman" w:cs="Times New Roman"/>
          <w:color w:val="000000"/>
          <w:sz w:val="20"/>
          <w:szCs w:val="20"/>
          <w:lang w:val="fr-FR"/>
        </w:rPr>
        <w:t>L’appel ne peut être fondé sur une erreur dans les constatations de fait sur lesquelles repose la décision, si elle a pu affecter le contenu de la décision, ou sur la disproportion manifeste de la peine, de la mesure pénale, d’une amende, ou de l'application ou la non-application injustifiée d'une mesure de sûreté, d’une confiscation ou d’une autre mesure, liée au contenu de l’accord conclu concernant le prononcé d’une condamnation, l’imposition d’une peine ou d’une mesure pénale déterminée, la prononciation d’une confiscation ou d’une mesure compensatoire, ou la décision relative à la prise en charge des frais de procédure. (article 447, paragraphe 5).</w:t>
      </w:r>
      <w:r>
        <w:rPr>
          <w:rFonts w:ascii="Times New Roman" w:hAnsi="Times New Roman" w:cs="Times New Roman"/>
          <w:sz w:val="20"/>
          <w:szCs w:val="20"/>
          <w:lang w:val="fr-FR"/>
        </w:rPr>
        <w:t xml:space="preserve"> </w:t>
      </w:r>
    </w:p>
    <w:p w14:paraId="4C7A1D01" w14:textId="77777777" w:rsidR="00805C96" w:rsidRPr="008D69E2" w:rsidRDefault="00805C96" w:rsidP="00885058">
      <w:pPr>
        <w:widowControl w:val="0"/>
        <w:tabs>
          <w:tab w:val="left" w:pos="360"/>
          <w:tab w:val="left" w:pos="5670"/>
          <w:tab w:val="left" w:pos="738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360" w:lineRule="auto"/>
        <w:ind w:firstLine="482"/>
        <w:jc w:val="both"/>
        <w:rPr>
          <w:rFonts w:ascii="Times New Roman" w:hAnsi="Times New Roman" w:cs="Times New Roman"/>
          <w:color w:val="000000"/>
          <w:sz w:val="20"/>
          <w:szCs w:val="20"/>
          <w:lang w:val="fr-FR"/>
        </w:rPr>
      </w:pPr>
      <w:r>
        <w:rPr>
          <w:rFonts w:ascii="Times New Roman" w:hAnsi="Times New Roman" w:cs="Times New Roman"/>
          <w:color w:val="000000"/>
          <w:sz w:val="20"/>
          <w:szCs w:val="20"/>
          <w:lang w:val="fr-FR"/>
        </w:rPr>
        <w:t xml:space="preserve">Un appel ne peut se fonder uniquement sur des griefs dont la prise en compte pourrait intervenir dans le </w:t>
      </w:r>
      <w:r>
        <w:rPr>
          <w:rFonts w:ascii="Times New Roman" w:hAnsi="Times New Roman" w:cs="Times New Roman"/>
          <w:color w:val="000000"/>
          <w:sz w:val="20"/>
          <w:szCs w:val="20"/>
          <w:lang w:val="fr-FR"/>
        </w:rPr>
        <w:lastRenderedPageBreak/>
        <w:t>cadre de la rectification d'une erreur matérielle ou de calcul, ainsi que dans la computation des délais figurant dans le jugement ou dans son exposé des motifs, dans le cadre de la décision relative à la déchéance, à la prise en compte de la période de privation de liberté effective, de la durée de la suspension du permis de conduire ou d’un autre document équivalent, ou de la durée de la suspension de l’accusé dans l’exercice de ses fonctions ou de sa profession, ou de l’interdiction de se livrer à une activité déterminée ou de conduire un type de véhicule déterminé, ou de l’interdiction de soumissionner à des marchés publics pendant la durée de la procédure, imposer l’obligation de restituer le document habilitant à la conduite d’un véhicule ou les pièces à conviction, ainsi que statuer sur les frais de procédure (article 447, paragraphe 6).</w:t>
      </w:r>
    </w:p>
    <w:p w14:paraId="03B79FD6" w14:textId="77777777" w:rsidR="00805C96" w:rsidRPr="008D69E2" w:rsidRDefault="00805C96" w:rsidP="00885058">
      <w:pPr>
        <w:widowControl w:val="0"/>
        <w:tabs>
          <w:tab w:val="left" w:pos="360"/>
          <w:tab w:val="left" w:pos="5670"/>
          <w:tab w:val="left" w:pos="738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360" w:lineRule="auto"/>
        <w:ind w:firstLine="482"/>
        <w:jc w:val="both"/>
        <w:rPr>
          <w:rFonts w:ascii="Times New Roman" w:eastAsia="Times New Roman" w:hAnsi="Times New Roman" w:cs="Times New Roman"/>
          <w:sz w:val="20"/>
          <w:szCs w:val="20"/>
          <w:lang w:val="fr-FR"/>
        </w:rPr>
      </w:pPr>
      <w:r>
        <w:rPr>
          <w:rFonts w:ascii="Times New Roman" w:hAnsi="Times New Roman" w:cs="Times New Roman"/>
          <w:b/>
          <w:bCs/>
          <w:sz w:val="20"/>
          <w:szCs w:val="20"/>
          <w:lang w:val="fr-FR"/>
        </w:rPr>
        <w:t>Un recours formé hors délai ou par une personne non autorisée ou irrecevable en vertu de la loi n'est pas accepté</w:t>
      </w:r>
      <w:r>
        <w:rPr>
          <w:rFonts w:ascii="Times New Roman" w:hAnsi="Times New Roman" w:cs="Times New Roman"/>
          <w:sz w:val="20"/>
          <w:szCs w:val="20"/>
          <w:lang w:val="fr-FR"/>
        </w:rPr>
        <w:t xml:space="preserve"> (article 429 paragraphe 1).</w:t>
      </w:r>
    </w:p>
    <w:p w14:paraId="367B7A82" w14:textId="77777777" w:rsidR="00805C96" w:rsidRPr="008D69E2" w:rsidRDefault="00805C96" w:rsidP="00885058">
      <w:pPr>
        <w:widowControl w:val="0"/>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eastAsia="Times New Roman" w:hAnsi="Times New Roman" w:cs="Times New Roman"/>
          <w:sz w:val="20"/>
          <w:szCs w:val="20"/>
          <w:lang w:val="fr-FR"/>
        </w:rPr>
      </w:pPr>
      <w:r>
        <w:rPr>
          <w:lang w:val="fr-FR"/>
        </w:rPr>
        <w:tab/>
      </w:r>
      <w:r>
        <w:rPr>
          <w:rFonts w:ascii="Times New Roman" w:hAnsi="Times New Roman" w:cs="Times New Roman"/>
          <w:color w:val="000000"/>
          <w:sz w:val="20"/>
          <w:szCs w:val="20"/>
          <w:lang w:val="fr-FR"/>
        </w:rPr>
        <w:t>L'accusé a le droit d'être assisté dans la préparation de l'appel par un avocat de son choix, et une</w:t>
      </w:r>
      <w:r>
        <w:rPr>
          <w:rFonts w:ascii="Times New Roman" w:hAnsi="Times New Roman" w:cs="Times New Roman"/>
          <w:sz w:val="20"/>
          <w:szCs w:val="20"/>
          <w:lang w:val="fr-FR"/>
        </w:rPr>
        <w:t xml:space="preserve"> partie autre que l'accusé peut désigner un mandataire.</w:t>
      </w:r>
      <w:r>
        <w:rPr>
          <w:rFonts w:ascii="Times New Roman" w:hAnsi="Times New Roman" w:cs="Times New Roman"/>
          <w:color w:val="000000"/>
          <w:sz w:val="20"/>
          <w:szCs w:val="20"/>
          <w:lang w:val="fr-FR"/>
        </w:rPr>
        <w:t xml:space="preserve"> Tant que l'accusé en détention n'a pas désigné un avocat, celui-ci peut être désigné par une autre personne. Le recours contre un jugement d'un tribunal régional qui n'émane pas d'un procureur doit être rédigé et signé par un avocat, un conseiller juridique ou un conseiller du bureau du procureur général de la République de Pologne. Les frais liés à la désignation d'un avocat ou d'un mandataire sont à la charge de la partie qui l'a désigné </w:t>
      </w:r>
      <w:r>
        <w:rPr>
          <w:rFonts w:ascii="Times New Roman" w:hAnsi="Times New Roman" w:cs="Times New Roman"/>
          <w:sz w:val="20"/>
          <w:szCs w:val="20"/>
          <w:lang w:val="fr-FR"/>
        </w:rPr>
        <w:t>(</w:t>
      </w:r>
      <w:r>
        <w:rPr>
          <w:rFonts w:ascii="Times New Roman" w:hAnsi="Times New Roman" w:cs="Times New Roman"/>
          <w:color w:val="000000"/>
          <w:sz w:val="20"/>
          <w:szCs w:val="20"/>
          <w:lang w:val="fr-FR"/>
        </w:rPr>
        <w:t>article 6, article 83 paragraphe 1,</w:t>
      </w:r>
      <w:r>
        <w:rPr>
          <w:rFonts w:ascii="Times New Roman" w:hAnsi="Times New Roman" w:cs="Times New Roman"/>
          <w:sz w:val="20"/>
          <w:szCs w:val="20"/>
          <w:lang w:val="fr-FR"/>
        </w:rPr>
        <w:t xml:space="preserve"> article 87 paragraphe 1, article 446 paragraphe 1, article 620).</w:t>
      </w:r>
    </w:p>
    <w:p w14:paraId="3A1795AF" w14:textId="77777777" w:rsidR="00805C96" w:rsidRPr="008D69E2" w:rsidRDefault="00805C96" w:rsidP="00885058">
      <w:pPr>
        <w:widowControl w:val="0"/>
        <w:tabs>
          <w:tab w:val="left" w:pos="284"/>
          <w:tab w:val="left" w:pos="10490"/>
          <w:tab w:val="left" w:pos="11057"/>
          <w:tab w:val="left" w:pos="11328"/>
          <w:tab w:val="left" w:pos="12036"/>
          <w:tab w:val="left" w:pos="12744"/>
          <w:tab w:val="left" w:pos="13452"/>
          <w:tab w:val="left" w:pos="14160"/>
          <w:tab w:val="left" w:pos="14868"/>
          <w:tab w:val="left" w:pos="15576"/>
          <w:tab w:val="left" w:pos="16284"/>
          <w:tab w:val="left" w:pos="16992"/>
          <w:tab w:val="left" w:pos="17700"/>
          <w:tab w:val="left" w:pos="18408"/>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fr-FR"/>
        </w:rPr>
      </w:pPr>
      <w:r>
        <w:rPr>
          <w:rFonts w:ascii="Times New Roman" w:hAnsi="Times New Roman" w:cs="Times New Roman"/>
          <w:color w:val="000000"/>
          <w:sz w:val="20"/>
          <w:szCs w:val="20"/>
          <w:lang w:val="fr-FR"/>
        </w:rPr>
        <w:t xml:space="preserve">Si une partie n'a pas d’avocat ou de mandataire de son choix, elle peut demander la désignation d'un avocat ou d'un mandataire d'office, y compris pour l'exercice d'une action déterminée, si elle démontre dûment qu'elle n'est pas en mesure de supporter les frais de désignation d'un avocat ou d'un mandataire de son choix sans compromettre sa subsistance et celle de sa famille. </w:t>
      </w:r>
      <w:r>
        <w:rPr>
          <w:rFonts w:ascii="Times New Roman" w:hAnsi="Times New Roman" w:cs="Times New Roman"/>
          <w:sz w:val="20"/>
          <w:szCs w:val="20"/>
          <w:lang w:val="fr-FR"/>
        </w:rPr>
        <w:t xml:space="preserve">Un mandataire d'office sera alors désigné à partir de la liste des mandataires. </w:t>
      </w:r>
      <w:r>
        <w:rPr>
          <w:rFonts w:ascii="Times New Roman" w:hAnsi="Times New Roman" w:cs="Times New Roman"/>
          <w:color w:val="000000"/>
          <w:sz w:val="20"/>
          <w:szCs w:val="20"/>
          <w:lang w:val="fr-FR"/>
        </w:rPr>
        <w:t>La désignation d'un mandataire d'office peut être révoquée s'il s'avère que les circonstances qui ont motivé sa désignation n'existent pas (articles 78 et 81a, paragraphe 1, lus conjointement avec l'article 88, paragraphe 1, deuxième phrase).</w:t>
      </w:r>
    </w:p>
    <w:p w14:paraId="35D626DA" w14:textId="77777777" w:rsidR="00805C96" w:rsidRPr="008D69E2" w:rsidRDefault="00805C96" w:rsidP="00885058">
      <w:pPr>
        <w:widowControl w:val="0"/>
        <w:tabs>
          <w:tab w:val="left" w:pos="1440"/>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hAnsi="Times New Roman" w:cs="Times New Roman"/>
          <w:sz w:val="20"/>
          <w:szCs w:val="20"/>
          <w:lang w:val="fr-FR"/>
        </w:rPr>
      </w:pPr>
      <w:r>
        <w:rPr>
          <w:rFonts w:ascii="Times New Roman" w:hAnsi="Times New Roman" w:cs="Times New Roman"/>
          <w:color w:val="000000"/>
          <w:sz w:val="20"/>
          <w:szCs w:val="20"/>
          <w:lang w:val="fr-FR"/>
        </w:rPr>
        <w:t xml:space="preserve"> La participation d'un avocat à la procédure n'empêche pas l'accusé d'y agir en personne, et la participation d'un mandataire n'empêche pas une partie autre que l'accusé d'y agir en personne (article 86, paragraphe 2, lu conjointement avec l'article 88, paragraphe 1, deuxième phrase).</w:t>
      </w:r>
      <w:r>
        <w:rPr>
          <w:rFonts w:ascii="Times New Roman" w:hAnsi="Times New Roman" w:cs="Times New Roman"/>
          <w:sz w:val="20"/>
          <w:szCs w:val="20"/>
          <w:lang w:val="fr-FR"/>
        </w:rPr>
        <w:t xml:space="preserve"> </w:t>
      </w:r>
    </w:p>
    <w:p w14:paraId="750317E3" w14:textId="77777777" w:rsidR="00805C96" w:rsidRPr="008D69E2" w:rsidRDefault="00805C96" w:rsidP="00885058">
      <w:pPr>
        <w:widowControl w:val="0"/>
        <w:tabs>
          <w:tab w:val="left" w:pos="1440"/>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fr-FR"/>
        </w:rPr>
      </w:pPr>
      <w:r>
        <w:rPr>
          <w:rFonts w:ascii="Times New Roman" w:hAnsi="Times New Roman" w:cs="Times New Roman"/>
          <w:sz w:val="20"/>
          <w:szCs w:val="20"/>
          <w:lang w:val="fr-FR"/>
        </w:rPr>
        <w:t>Le jour à partir duquel le délai est compté n'est pas inclus dans le calcul des délais mentionnés ci-dessus. Si la date d'expiration de ce délai tombe un jour férié ou un samedi, l'acte peut être accompli le jour suivant qui n'est ni un jour férié ni un samedi (article 123, paragraphes 1 et 3). Le délai est respecté si, avant son expiration, la demande de motivation écrite ou l'appel est déposé directement auprès du tribunal ou :</w:t>
      </w:r>
    </w:p>
    <w:p w14:paraId="12B85CF9" w14:textId="77777777" w:rsidR="00805C96" w:rsidRPr="008D69E2" w:rsidRDefault="00805C96"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fr-FR"/>
        </w:rPr>
      </w:pPr>
      <w:r>
        <w:rPr>
          <w:rFonts w:ascii="Times New Roman" w:eastAsia="Times New Roman" w:hAnsi="Times New Roman" w:cs="Times New Roman"/>
          <w:sz w:val="20"/>
          <w:szCs w:val="20"/>
          <w:lang w:val="fr-FR"/>
        </w:rPr>
        <w:t>envoyé à la poste au sein de l'Union européenne ;</w:t>
      </w:r>
    </w:p>
    <w:p w14:paraId="45D37986" w14:textId="77777777" w:rsidR="00805C96" w:rsidRPr="008D69E2" w:rsidRDefault="00805C96"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fr-FR"/>
        </w:rPr>
      </w:pPr>
      <w:r>
        <w:rPr>
          <w:rFonts w:ascii="Times New Roman" w:eastAsia="Times New Roman" w:hAnsi="Times New Roman" w:cs="Times New Roman"/>
          <w:sz w:val="20"/>
          <w:szCs w:val="20"/>
          <w:lang w:val="fr-FR"/>
        </w:rPr>
        <w:t>déposé auprès d'un bureau consulaire polonais ;</w:t>
      </w:r>
    </w:p>
    <w:p w14:paraId="5CE9E4F1" w14:textId="77777777" w:rsidR="00805C96" w:rsidRPr="008D69E2" w:rsidRDefault="00805C96"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fr-FR"/>
        </w:rPr>
      </w:pPr>
      <w:r>
        <w:rPr>
          <w:rFonts w:ascii="Times New Roman" w:eastAsia="Times New Roman" w:hAnsi="Times New Roman" w:cs="Times New Roman"/>
          <w:sz w:val="20"/>
          <w:szCs w:val="20"/>
          <w:lang w:val="fr-FR"/>
        </w:rPr>
        <w:t>présenté par un militaire, à l'exception d'un militaire effectuant son service militaire territorial à titre de mise à disposition, au commandement d'une unité militaire ;</w:t>
      </w:r>
    </w:p>
    <w:p w14:paraId="1400D489" w14:textId="77777777" w:rsidR="00805C96" w:rsidRPr="008D69E2" w:rsidRDefault="00805C96"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fr-FR"/>
        </w:rPr>
      </w:pPr>
      <w:r>
        <w:rPr>
          <w:rFonts w:ascii="Times New Roman" w:eastAsia="Times New Roman" w:hAnsi="Times New Roman" w:cs="Times New Roman"/>
          <w:sz w:val="20"/>
          <w:szCs w:val="20"/>
          <w:lang w:val="fr-FR"/>
        </w:rPr>
        <w:t>présenté par la personne privée de liberté à l'administration de l'établissement concerné ;</w:t>
      </w:r>
    </w:p>
    <w:p w14:paraId="7EE63D38" w14:textId="77777777" w:rsidR="00805C96" w:rsidRPr="008D69E2" w:rsidRDefault="00805C96"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fr-FR"/>
        </w:rPr>
      </w:pPr>
      <w:r>
        <w:rPr>
          <w:rFonts w:ascii="Times New Roman" w:eastAsia="Times New Roman" w:hAnsi="Times New Roman" w:cs="Times New Roman"/>
          <w:sz w:val="20"/>
          <w:szCs w:val="20"/>
          <w:lang w:val="fr-FR"/>
        </w:rPr>
        <w:t>soumis par un membre de l'équipage d'un navire de mer polonais au capitaine du navire (article 124).</w:t>
      </w:r>
    </w:p>
    <w:p w14:paraId="61C7890C" w14:textId="77777777" w:rsidR="00805C96" w:rsidRPr="008D69E2"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rPr>
          <w:rFonts w:ascii="Times New Roman" w:hAnsi="Times New Roman" w:cs="Times New Roman"/>
          <w:i/>
          <w:iCs/>
          <w:sz w:val="18"/>
          <w:szCs w:val="18"/>
          <w:lang w:val="fr-FR"/>
        </w:rPr>
      </w:pPr>
    </w:p>
    <w:p w14:paraId="3EE18D5E" w14:textId="77777777" w:rsidR="00805C96" w:rsidRPr="008D69E2"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rPr>
          <w:rFonts w:ascii="Times New Roman" w:hAnsi="Times New Roman" w:cs="Times New Roman"/>
          <w:i/>
          <w:iCs/>
          <w:sz w:val="18"/>
          <w:szCs w:val="18"/>
          <w:lang w:val="fr-FR"/>
        </w:rPr>
      </w:pPr>
    </w:p>
    <w:p w14:paraId="6DF91A39" w14:textId="77777777" w:rsidR="00805C96" w:rsidRPr="008D69E2"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rPr>
          <w:rFonts w:ascii="Times New Roman" w:hAnsi="Times New Roman" w:cs="Times New Roman"/>
          <w:i/>
          <w:iCs/>
          <w:sz w:val="18"/>
          <w:szCs w:val="18"/>
          <w:lang w:val="fr-FR"/>
        </w:rPr>
      </w:pPr>
    </w:p>
    <w:p w14:paraId="086FFD10" w14:textId="77777777" w:rsidR="00805C96" w:rsidRPr="008D69E2"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rPr>
          <w:rFonts w:ascii="Times New Roman" w:hAnsi="Times New Roman" w:cs="Times New Roman"/>
          <w:i/>
          <w:iCs/>
          <w:sz w:val="18"/>
          <w:szCs w:val="18"/>
          <w:lang w:val="fr-FR"/>
        </w:rPr>
      </w:pPr>
    </w:p>
    <w:p w14:paraId="4B4C0822" w14:textId="77777777" w:rsidR="00805C96" w:rsidRPr="00805C96" w:rsidRDefault="00805C96" w:rsidP="00805C96">
      <w:pPr>
        <w:numPr>
          <w:ilvl w:val="0"/>
          <w:numId w:val="3"/>
        </w:num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sz w:val="12"/>
          <w:szCs w:val="12"/>
        </w:rPr>
      </w:pPr>
      <w:r>
        <w:rPr>
          <w:rFonts w:ascii="Times New Roman" w:hAnsi="Times New Roman" w:cs="Times New Roman"/>
          <w:sz w:val="12"/>
          <w:szCs w:val="12"/>
          <w:lang w:val="fr-FR"/>
        </w:rPr>
        <w:t>sélectionnez la phrase appropriée ;</w:t>
      </w:r>
    </w:p>
    <w:p w14:paraId="46F7D35A" w14:textId="5123E14F" w:rsidR="006A349A" w:rsidRPr="008D69E2" w:rsidRDefault="00805C96" w:rsidP="00805C96">
      <w:pPr>
        <w:numPr>
          <w:ilvl w:val="0"/>
          <w:numId w:val="3"/>
        </w:num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sz w:val="12"/>
          <w:szCs w:val="12"/>
          <w:lang w:val="fr-FR"/>
        </w:rPr>
      </w:pPr>
      <w:r>
        <w:rPr>
          <w:rFonts w:ascii="Times New Roman" w:eastAsia="Times New Roman" w:hAnsi="Times New Roman" w:cs="Times New Roman"/>
          <w:sz w:val="12"/>
          <w:szCs w:val="12"/>
          <w:lang w:val="fr-FR"/>
        </w:rPr>
        <w:t>les références entre parenthèses renvoient aux articles correspondants de la loi du 6 juin 1997 – Code de procédure pénale (Journal officiel de 2018, n° 1987, telle que modifiée).</w:t>
      </w:r>
      <w:r w:rsidRPr="008D69E2">
        <w:rPr>
          <w:rFonts w:ascii="Times New Roman" w:hAnsi="Times New Roman" w:cs="Times New Roman"/>
          <w:color w:val="000000"/>
          <w:sz w:val="18"/>
          <w:szCs w:val="18"/>
          <w:lang w:val="fr-FR"/>
        </w:rPr>
        <w:fldChar w:fldCharType="begin"/>
      </w:r>
      <w:r w:rsidRPr="008D69E2">
        <w:rPr>
          <w:rFonts w:ascii="Times New Roman" w:hAnsi="Times New Roman" w:cs="Times New Roman"/>
          <w:color w:val="000000"/>
          <w:sz w:val="18"/>
          <w:szCs w:val="18"/>
          <w:lang w:val="fr-FR"/>
        </w:rPr>
        <w:instrText xml:space="preserve"> {KONIEC} </w:instrText>
      </w:r>
      <w:r w:rsidRPr="008D69E2">
        <w:rPr>
          <w:rFonts w:ascii="Times New Roman" w:hAnsi="Times New Roman" w:cs="Times New Roman"/>
          <w:color w:val="000000"/>
          <w:sz w:val="18"/>
          <w:szCs w:val="18"/>
          <w:lang w:val="fr-FR"/>
        </w:rPr>
        <w:fldChar w:fldCharType="separate"/>
      </w:r>
      <w:r w:rsidRPr="008D69E2">
        <w:rPr>
          <w:rFonts w:ascii="Times New Roman" w:hAnsi="Times New Roman" w:cs="Times New Roman"/>
          <w:color w:val="000000"/>
          <w:sz w:val="18"/>
          <w:szCs w:val="18"/>
          <w:lang w:val="fr-FR"/>
        </w:rPr>
        <w:t xml:space="preserve"> </w:t>
      </w:r>
      <w:r w:rsidRPr="008D69E2">
        <w:rPr>
          <w:rFonts w:ascii="Times New Roman" w:hAnsi="Times New Roman" w:cs="Times New Roman"/>
          <w:color w:val="000000"/>
          <w:sz w:val="18"/>
          <w:szCs w:val="18"/>
          <w:lang w:val="fr-FR"/>
        </w:rPr>
        <w:fldChar w:fldCharType="end"/>
      </w:r>
    </w:p>
    <w:sectPr w:rsidR="006A349A" w:rsidRPr="008D69E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65540" w14:textId="77777777" w:rsidR="00F60789" w:rsidRDefault="00F60789" w:rsidP="00F60789">
      <w:pPr>
        <w:spacing w:after="0" w:line="240" w:lineRule="auto"/>
      </w:pPr>
      <w:r>
        <w:separator/>
      </w:r>
    </w:p>
  </w:endnote>
  <w:endnote w:type="continuationSeparator" w:id="0">
    <w:p w14:paraId="19617749" w14:textId="77777777" w:rsidR="00F60789" w:rsidRDefault="00F60789" w:rsidP="00F607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463CE" w14:textId="77777777" w:rsidR="00F60789" w:rsidRDefault="00F60789" w:rsidP="00F60789">
      <w:pPr>
        <w:spacing w:after="0" w:line="240" w:lineRule="auto"/>
      </w:pPr>
      <w:r>
        <w:separator/>
      </w:r>
    </w:p>
  </w:footnote>
  <w:footnote w:type="continuationSeparator" w:id="0">
    <w:p w14:paraId="0699CDFC" w14:textId="77777777" w:rsidR="00F60789" w:rsidRDefault="00F60789" w:rsidP="00F607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1">
      <w:start w:val="1"/>
      <w:numFmt w:val="decimal"/>
      <w:lvlText w:val="%2)"/>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2">
      <w:start w:val="1"/>
      <w:numFmt w:val="decimal"/>
      <w:lvlText w:val="%3)"/>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3">
      <w:start w:val="1"/>
      <w:numFmt w:val="decimal"/>
      <w:lvlText w:val="%4)"/>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4">
      <w:start w:val="1"/>
      <w:numFmt w:val="decimal"/>
      <w:lvlText w:val="%5)"/>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5">
      <w:start w:val="1"/>
      <w:numFmt w:val="decimal"/>
      <w:lvlText w:val="%6)"/>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6">
      <w:start w:val="1"/>
      <w:numFmt w:val="decimal"/>
      <w:lvlText w:val="%7)"/>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7">
      <w:start w:val="1"/>
      <w:numFmt w:val="decimal"/>
      <w:lvlText w:val="%8)"/>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8">
      <w:start w:val="1"/>
      <w:numFmt w:val="decimal"/>
      <w:lvlText w:val="%9)"/>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abstractNum>
  <w:abstractNum w:abstractNumId="1" w15:restartNumberingAfterBreak="0">
    <w:nsid w:val="00000002"/>
    <w:multiLevelType w:val="multilevel"/>
    <w:tmpl w:val="00000002"/>
    <w:lvl w:ilvl="0">
      <w:start w:val="1"/>
      <w:numFmt w:val="decimal"/>
      <w:lvlText w:val="%1."/>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1">
      <w:start w:val="1"/>
      <w:numFmt w:val="decimal"/>
      <w:lvlText w:val="%2."/>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2">
      <w:start w:val="1"/>
      <w:numFmt w:val="decimal"/>
      <w:lvlText w:val="%3."/>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3">
      <w:start w:val="1"/>
      <w:numFmt w:val="decimal"/>
      <w:lvlText w:val="%4."/>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4">
      <w:start w:val="1"/>
      <w:numFmt w:val="decimal"/>
      <w:lvlText w:val="%5."/>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5">
      <w:start w:val="1"/>
      <w:numFmt w:val="decimal"/>
      <w:lvlText w:val="%6."/>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6">
      <w:start w:val="1"/>
      <w:numFmt w:val="decimal"/>
      <w:lvlText w:val="%7."/>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7">
      <w:start w:val="1"/>
      <w:numFmt w:val="decimal"/>
      <w:lvlText w:val="%8."/>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8">
      <w:start w:val="1"/>
      <w:numFmt w:val="decimal"/>
      <w:lvlText w:val="%9."/>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abstractNum>
  <w:abstractNum w:abstractNumId="2" w15:restartNumberingAfterBreak="0">
    <w:nsid w:val="00000003"/>
    <w:multiLevelType w:val="multilevel"/>
    <w:tmpl w:val="00000003"/>
    <w:lvl w:ilvl="0">
      <w:start w:val="1"/>
      <w:numFmt w:val="decimal"/>
      <w:lvlText w:val="%1)"/>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abstractNum>
  <w:num w:numId="1" w16cid:durableId="1399858451">
    <w:abstractNumId w:val="0"/>
  </w:num>
  <w:num w:numId="2" w16cid:durableId="759985410">
    <w:abstractNumId w:val="1"/>
  </w:num>
  <w:num w:numId="3" w16cid:durableId="1363094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7A41"/>
    <w:rsid w:val="001467A4"/>
    <w:rsid w:val="00177175"/>
    <w:rsid w:val="001E1103"/>
    <w:rsid w:val="002A75F1"/>
    <w:rsid w:val="006164A0"/>
    <w:rsid w:val="006A349A"/>
    <w:rsid w:val="00737A41"/>
    <w:rsid w:val="00805C96"/>
    <w:rsid w:val="00885058"/>
    <w:rsid w:val="008D69E2"/>
    <w:rsid w:val="00F607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186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607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60789"/>
  </w:style>
  <w:style w:type="paragraph" w:styleId="Stopka">
    <w:name w:val="footer"/>
    <w:basedOn w:val="Normalny"/>
    <w:link w:val="StopkaZnak"/>
    <w:uiPriority w:val="99"/>
    <w:unhideWhenUsed/>
    <w:rsid w:val="00F607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607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1237</Words>
  <Characters>6179</Characters>
  <Application>Microsoft Office Word</Application>
  <DocSecurity>0</DocSecurity>
  <Lines>84</Lines>
  <Paragraphs>26</Paragraphs>
  <ScaleCrop>false</ScaleCrop>
  <Company/>
  <LinksUpToDate>false</LinksUpToDate>
  <CharactersWithSpaces>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2026-03-19T13:44:00Z</dcterms:created>
  <dcterms:modified xsi:type="dcterms:W3CDTF">2026-03-19T13:44:00Z</dcterms:modified>
</cp:coreProperties>
</file>